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5F0E" w:rsidRPr="00101BF4" w:rsidRDefault="00E15F0E" w:rsidP="007B7B6B">
      <w:pPr>
        <w:spacing w:line="480" w:lineRule="auto"/>
        <w:rPr>
          <w:rFonts w:cs="Times New Roman"/>
          <w:szCs w:val="24"/>
        </w:rPr>
      </w:pPr>
    </w:p>
    <w:p w:rsidR="00E15F0E" w:rsidRPr="00101BF4" w:rsidRDefault="00E15F0E" w:rsidP="007B7B6B">
      <w:pPr>
        <w:spacing w:line="480" w:lineRule="auto"/>
        <w:rPr>
          <w:rFonts w:cs="Times New Roman"/>
          <w:szCs w:val="24"/>
        </w:rPr>
      </w:pPr>
    </w:p>
    <w:p w:rsidR="00EE3E50" w:rsidRPr="00101BF4" w:rsidRDefault="00BD08EF" w:rsidP="007B7B6B">
      <w:pPr>
        <w:spacing w:line="480" w:lineRule="auto"/>
        <w:jc w:val="center"/>
        <w:rPr>
          <w:rFonts w:cs="Times New Roman"/>
          <w:szCs w:val="24"/>
        </w:rPr>
      </w:pPr>
      <w:r w:rsidRPr="00101BF4">
        <w:rPr>
          <w:rFonts w:cs="Times New Roman"/>
          <w:szCs w:val="24"/>
        </w:rPr>
        <w:t>EIGHT SIGN MIRACLES BY JESUS: GOSPEL OF JOHN</w:t>
      </w:r>
    </w:p>
    <w:p w:rsidR="00E15F0E" w:rsidRPr="00101BF4" w:rsidRDefault="00E15F0E" w:rsidP="007B7B6B">
      <w:pPr>
        <w:spacing w:line="480" w:lineRule="auto"/>
        <w:jc w:val="center"/>
        <w:rPr>
          <w:rFonts w:cs="Times New Roman"/>
          <w:szCs w:val="24"/>
        </w:rPr>
      </w:pPr>
    </w:p>
    <w:p w:rsidR="00E15F0E" w:rsidRPr="00101BF4" w:rsidRDefault="00E15F0E" w:rsidP="007B7B6B">
      <w:pPr>
        <w:spacing w:line="480" w:lineRule="auto"/>
        <w:jc w:val="center"/>
        <w:rPr>
          <w:rFonts w:cs="Times New Roman"/>
          <w:szCs w:val="24"/>
        </w:rPr>
      </w:pPr>
    </w:p>
    <w:p w:rsidR="00EE3E50" w:rsidRPr="00101BF4" w:rsidRDefault="00EE3E50" w:rsidP="007B7B6B">
      <w:pPr>
        <w:spacing w:line="480" w:lineRule="auto"/>
        <w:jc w:val="center"/>
        <w:rPr>
          <w:rFonts w:cs="Times New Roman"/>
          <w:szCs w:val="24"/>
        </w:rPr>
      </w:pPr>
    </w:p>
    <w:p w:rsidR="00EE3E50" w:rsidRPr="00101BF4" w:rsidRDefault="00EE3E50" w:rsidP="007B7B6B">
      <w:pPr>
        <w:spacing w:line="480" w:lineRule="auto"/>
        <w:jc w:val="center"/>
        <w:rPr>
          <w:rFonts w:cs="Times New Roman"/>
          <w:szCs w:val="24"/>
        </w:rPr>
      </w:pPr>
    </w:p>
    <w:p w:rsidR="00EE3E50" w:rsidRPr="00101BF4" w:rsidRDefault="00EE3E50" w:rsidP="007B7B6B">
      <w:pPr>
        <w:spacing w:line="480" w:lineRule="auto"/>
        <w:jc w:val="center"/>
        <w:rPr>
          <w:rFonts w:cs="Times New Roman"/>
          <w:szCs w:val="24"/>
        </w:rPr>
      </w:pPr>
    </w:p>
    <w:p w:rsidR="00EE3E50" w:rsidRPr="00101BF4" w:rsidRDefault="00EE3E50" w:rsidP="007B7B6B">
      <w:pPr>
        <w:spacing w:line="480" w:lineRule="auto"/>
        <w:jc w:val="center"/>
        <w:rPr>
          <w:rFonts w:cs="Times New Roman"/>
          <w:szCs w:val="24"/>
        </w:rPr>
      </w:pPr>
    </w:p>
    <w:p w:rsidR="00E15F0E" w:rsidRPr="00101BF4" w:rsidRDefault="00E15F0E" w:rsidP="007B7B6B">
      <w:pPr>
        <w:spacing w:line="480" w:lineRule="auto"/>
        <w:jc w:val="center"/>
        <w:rPr>
          <w:rFonts w:cs="Times New Roman"/>
          <w:szCs w:val="24"/>
        </w:rPr>
      </w:pPr>
    </w:p>
    <w:p w:rsidR="00E15F0E" w:rsidRPr="00101BF4" w:rsidRDefault="00E15F0E" w:rsidP="007B7B6B">
      <w:pPr>
        <w:spacing w:line="480" w:lineRule="auto"/>
        <w:jc w:val="center"/>
        <w:rPr>
          <w:rFonts w:cs="Times New Roman"/>
          <w:szCs w:val="24"/>
        </w:rPr>
      </w:pPr>
    </w:p>
    <w:p w:rsidR="00E15F0E" w:rsidRPr="00101BF4" w:rsidRDefault="00E15F0E" w:rsidP="007B7B6B">
      <w:pPr>
        <w:spacing w:line="480" w:lineRule="auto"/>
        <w:jc w:val="center"/>
        <w:rPr>
          <w:rFonts w:cs="Times New Roman"/>
          <w:szCs w:val="24"/>
        </w:rPr>
      </w:pPr>
    </w:p>
    <w:p w:rsidR="00EE3E50" w:rsidRPr="00101BF4" w:rsidRDefault="00EE3E50" w:rsidP="007B7B6B">
      <w:pPr>
        <w:spacing w:line="480" w:lineRule="auto"/>
        <w:jc w:val="center"/>
        <w:rPr>
          <w:rFonts w:cs="Times New Roman"/>
          <w:szCs w:val="24"/>
        </w:rPr>
      </w:pPr>
    </w:p>
    <w:p w:rsidR="00E15F0E" w:rsidRPr="00101BF4" w:rsidRDefault="00E15F0E" w:rsidP="007B7B6B">
      <w:pPr>
        <w:spacing w:line="480" w:lineRule="auto"/>
        <w:jc w:val="center"/>
        <w:rPr>
          <w:rFonts w:cs="Times New Roman"/>
          <w:szCs w:val="24"/>
        </w:rPr>
      </w:pPr>
    </w:p>
    <w:p w:rsidR="00E15F0E" w:rsidRPr="00101BF4" w:rsidRDefault="00AB5D84" w:rsidP="00D063D4">
      <w:pPr>
        <w:spacing w:line="480" w:lineRule="auto"/>
        <w:jc w:val="center"/>
        <w:rPr>
          <w:rFonts w:cs="Times New Roman"/>
          <w:szCs w:val="24"/>
        </w:rPr>
      </w:pPr>
      <w:r w:rsidRPr="00101BF4">
        <w:rPr>
          <w:rFonts w:cs="Times New Roman"/>
          <w:szCs w:val="24"/>
        </w:rPr>
        <w:t>Student</w:t>
      </w:r>
      <w:r w:rsidR="0056020C" w:rsidRPr="00101BF4">
        <w:rPr>
          <w:rFonts w:cs="Times New Roman"/>
          <w:szCs w:val="24"/>
        </w:rPr>
        <w:t>’s Name</w:t>
      </w:r>
    </w:p>
    <w:p w:rsidR="0056020C" w:rsidRPr="00101BF4" w:rsidRDefault="0056020C" w:rsidP="007B7B6B">
      <w:pPr>
        <w:spacing w:line="480" w:lineRule="auto"/>
        <w:jc w:val="center"/>
        <w:rPr>
          <w:rFonts w:cs="Times New Roman"/>
          <w:szCs w:val="24"/>
        </w:rPr>
      </w:pPr>
      <w:r w:rsidRPr="00101BF4">
        <w:rPr>
          <w:rFonts w:cs="Times New Roman"/>
          <w:szCs w:val="24"/>
        </w:rPr>
        <w:t xml:space="preserve">Course </w:t>
      </w:r>
    </w:p>
    <w:p w:rsidR="0056020C" w:rsidRPr="00101BF4" w:rsidRDefault="0056020C" w:rsidP="007B7B6B">
      <w:pPr>
        <w:spacing w:line="480" w:lineRule="auto"/>
        <w:jc w:val="center"/>
        <w:rPr>
          <w:rFonts w:cs="Times New Roman"/>
          <w:szCs w:val="24"/>
        </w:rPr>
      </w:pPr>
      <w:r w:rsidRPr="00101BF4">
        <w:rPr>
          <w:rFonts w:cs="Times New Roman"/>
          <w:szCs w:val="24"/>
        </w:rPr>
        <w:t xml:space="preserve">Date of Submission </w:t>
      </w:r>
    </w:p>
    <w:p w:rsidR="00E15F0E" w:rsidRPr="00101BF4" w:rsidRDefault="00E15F0E" w:rsidP="007B7B6B">
      <w:pPr>
        <w:spacing w:line="480" w:lineRule="auto"/>
        <w:jc w:val="center"/>
        <w:rPr>
          <w:rFonts w:cs="Times New Roman"/>
          <w:szCs w:val="24"/>
        </w:rPr>
      </w:pPr>
    </w:p>
    <w:p w:rsidR="00E15F0E" w:rsidRPr="00101BF4" w:rsidRDefault="00E15F0E" w:rsidP="007B7B6B">
      <w:pPr>
        <w:spacing w:line="480" w:lineRule="auto"/>
        <w:jc w:val="center"/>
        <w:rPr>
          <w:rFonts w:cs="Times New Roman"/>
          <w:szCs w:val="24"/>
        </w:rPr>
      </w:pPr>
    </w:p>
    <w:p w:rsidR="00E15F0E" w:rsidRPr="00101BF4" w:rsidRDefault="00E15F0E" w:rsidP="007B7B6B">
      <w:pPr>
        <w:spacing w:line="480" w:lineRule="auto"/>
        <w:jc w:val="center"/>
        <w:rPr>
          <w:rFonts w:cs="Times New Roman"/>
          <w:szCs w:val="24"/>
        </w:rPr>
      </w:pPr>
    </w:p>
    <w:p w:rsidR="00D063D4" w:rsidRPr="00101BF4" w:rsidRDefault="00D063D4" w:rsidP="007B7B6B">
      <w:pPr>
        <w:spacing w:line="480" w:lineRule="auto"/>
        <w:rPr>
          <w:rFonts w:cs="Times New Roman"/>
          <w:szCs w:val="24"/>
        </w:rPr>
      </w:pPr>
    </w:p>
    <w:p w:rsidR="00D063D4" w:rsidRPr="00101BF4" w:rsidRDefault="00D063D4" w:rsidP="007B7B6B">
      <w:pPr>
        <w:spacing w:line="480" w:lineRule="auto"/>
        <w:rPr>
          <w:rFonts w:cs="Times New Roman"/>
          <w:szCs w:val="24"/>
        </w:rPr>
      </w:pPr>
    </w:p>
    <w:p w:rsidR="00BD08EF" w:rsidRPr="00101BF4" w:rsidRDefault="00BD08EF" w:rsidP="007B7B6B">
      <w:pPr>
        <w:spacing w:line="480" w:lineRule="auto"/>
        <w:rPr>
          <w:rFonts w:cs="Times New Roman"/>
          <w:b/>
          <w:szCs w:val="24"/>
        </w:rPr>
      </w:pPr>
    </w:p>
    <w:p w:rsidR="00BD08EF" w:rsidRPr="00101BF4" w:rsidRDefault="00BD08EF" w:rsidP="00BD08EF">
      <w:pPr>
        <w:spacing w:line="480" w:lineRule="auto"/>
        <w:ind w:firstLine="720"/>
        <w:rPr>
          <w:rFonts w:cs="Times New Roman"/>
          <w:szCs w:val="24"/>
        </w:rPr>
      </w:pPr>
      <w:r w:rsidRPr="00101BF4">
        <w:rPr>
          <w:rFonts w:cs="Times New Roman"/>
          <w:szCs w:val="24"/>
        </w:rPr>
        <w:lastRenderedPageBreak/>
        <w:t>Christians, including theological scholars have provided wide-ranging reasons why Jesus Christ performed different forms of miracles, with some arguing that, through these signs and wonders, he succeeded in demonstrating his close connection with God, while other others focusing on the role of miracles as an assurance of the truth behind Jesus’ teachings. While a believer is free to take any given approach to justifying miracles by Jesus, there is a wide consensus that they were and remain essential in depicting his divine status.</w:t>
      </w:r>
      <w:r w:rsidRPr="00101BF4">
        <w:rPr>
          <w:rStyle w:val="FootnoteReference"/>
          <w:rFonts w:cs="Times New Roman"/>
          <w:szCs w:val="24"/>
        </w:rPr>
        <w:footnoteReference w:id="1"/>
      </w:r>
      <w:r w:rsidR="00516846" w:rsidRPr="00101BF4">
        <w:rPr>
          <w:rStyle w:val="FootnoteReference"/>
          <w:rFonts w:cs="Times New Roman"/>
          <w:szCs w:val="24"/>
        </w:rPr>
        <w:footnoteReference w:id="2"/>
      </w:r>
      <w:r w:rsidRPr="00101BF4">
        <w:rPr>
          <w:rFonts w:cs="Times New Roman"/>
          <w:szCs w:val="24"/>
        </w:rPr>
        <w:t xml:space="preserve"> These reasons have been informed by scriptures and other authoritative C</w:t>
      </w:r>
      <w:bookmarkStart w:id="0" w:name="_GoBack"/>
      <w:bookmarkEnd w:id="0"/>
      <w:r w:rsidRPr="00101BF4">
        <w:rPr>
          <w:rFonts w:cs="Times New Roman"/>
          <w:szCs w:val="24"/>
        </w:rPr>
        <w:t>hristian texts. Focusing on the Gospel of John, this essay refers to insights provided by two Christian authors, Leon Morris and Elmer Towns, to discuss how the following eight miracles plays a fundamental role in uniquely revealing Jesus’ deity: turning water into wine; healing the son of an official; giving sight to a blind man; feeding five thousand men; walking on water; healing a man born blind; raising Lazarus; and appearance after resurrection.</w:t>
      </w:r>
    </w:p>
    <w:p w:rsidR="00BD08EF" w:rsidRPr="00101BF4" w:rsidRDefault="00BD08EF" w:rsidP="00BD08EF">
      <w:pPr>
        <w:spacing w:line="480" w:lineRule="auto"/>
        <w:ind w:firstLine="720"/>
        <w:rPr>
          <w:rFonts w:eastAsia="Times New Roman" w:cs="Times New Roman"/>
          <w:szCs w:val="24"/>
        </w:rPr>
      </w:pPr>
      <w:r w:rsidRPr="00101BF4">
        <w:rPr>
          <w:rFonts w:cs="Times New Roman"/>
          <w:szCs w:val="24"/>
        </w:rPr>
        <w:t>Morris uses his text to establish a context for genuine discussion by providing a convincing explanation about what constitutes the essence and approach taken by John to present each of Jesus’ deeds. In particular, the author argues that John identifies and uses plural terms to narrate the miracles by Jesus. Morris gives instances in the book of John (</w:t>
      </w:r>
      <w:r w:rsidRPr="00101BF4">
        <w:rPr>
          <w:rFonts w:eastAsia="Times New Roman" w:cs="Times New Roman"/>
          <w:szCs w:val="24"/>
        </w:rPr>
        <w:t>2:23; 3:2; 6:2), the first of the signs,” “what sign?” and “perform the signs,” respectively.</w:t>
      </w:r>
      <w:r w:rsidR="00203A2E" w:rsidRPr="00101BF4">
        <w:rPr>
          <w:rStyle w:val="FootnoteReference"/>
          <w:rFonts w:eastAsia="Times New Roman" w:cs="Times New Roman"/>
          <w:szCs w:val="24"/>
        </w:rPr>
        <w:footnoteReference w:id="3"/>
      </w:r>
      <w:r w:rsidRPr="00101BF4">
        <w:rPr>
          <w:rFonts w:eastAsia="Times New Roman" w:cs="Times New Roman"/>
          <w:szCs w:val="24"/>
        </w:rPr>
        <w:t xml:space="preserve"> In other words, John explicitly uses the word “sign” to refer to any of the major events by Jesus, which, turn, indicates the importance he attached to the term when it comes to denoting miraculous happenings. </w:t>
      </w:r>
    </w:p>
    <w:p w:rsidR="00BD08EF" w:rsidRPr="00101BF4" w:rsidRDefault="00BD08EF" w:rsidP="00BD08EF">
      <w:pPr>
        <w:spacing w:line="480" w:lineRule="auto"/>
        <w:ind w:firstLine="720"/>
        <w:rPr>
          <w:rFonts w:eastAsia="Times New Roman" w:cs="Times New Roman"/>
          <w:szCs w:val="24"/>
        </w:rPr>
      </w:pPr>
      <w:r w:rsidRPr="00101BF4">
        <w:rPr>
          <w:rFonts w:eastAsia="Times New Roman" w:cs="Times New Roman"/>
          <w:szCs w:val="24"/>
        </w:rPr>
        <w:lastRenderedPageBreak/>
        <w:t>John has utilized the first 10 versus of the second chapter of his book to explain Jesus’ first miracle: turning water into wine. Any other Christian, regardless of their denominations, would agree that this miracle is not only significant for a wide range of reasons, such as demonstrating the unique aspect of Jesus’ spirituality, but also because it marked the start of his ministry on earth. In Towns’ view, this first miracle has had and continues to have far-reaching effect on Jesus’ deity.</w:t>
      </w:r>
      <w:r w:rsidR="00176ECF" w:rsidRPr="00101BF4">
        <w:rPr>
          <w:rStyle w:val="FootnoteReference"/>
          <w:rFonts w:eastAsia="Times New Roman" w:cs="Times New Roman"/>
          <w:szCs w:val="24"/>
        </w:rPr>
        <w:footnoteReference w:id="4"/>
      </w:r>
      <w:r w:rsidRPr="00101BF4">
        <w:rPr>
          <w:rFonts w:eastAsia="Times New Roman" w:cs="Times New Roman"/>
          <w:szCs w:val="24"/>
        </w:rPr>
        <w:t xml:space="preserve"> He corroborates that the miracle went a long way in symbolizing his coming grace. Towns proceeds to provide up to six different reasons for the miraculous event: confirming to the people that marriage is holy and a divine institution that has been ordained and blessed by God. The third and fourth justifications involve laying a strong foundation necessary for the challenging earthly ministry and revealing that he stood for creation, continuing God’s work on earth. </w:t>
      </w:r>
    </w:p>
    <w:p w:rsidR="00BD08EF" w:rsidRPr="00101BF4" w:rsidRDefault="00BD08EF" w:rsidP="00BD08EF">
      <w:pPr>
        <w:spacing w:line="480" w:lineRule="auto"/>
        <w:ind w:firstLine="720"/>
        <w:rPr>
          <w:rFonts w:eastAsia="Times New Roman" w:cs="Times New Roman"/>
          <w:szCs w:val="24"/>
        </w:rPr>
      </w:pPr>
      <w:r w:rsidRPr="00101BF4">
        <w:rPr>
          <w:rFonts w:eastAsia="Times New Roman" w:cs="Times New Roman"/>
          <w:szCs w:val="24"/>
        </w:rPr>
        <w:t>The fifth and sixth reasons provided by Towns for the first miracle revolve around conveying a clear and concise message that Jesus has a strong relationship with the Church and he wanted to give disciplines and potential follows a sign that they could easily understand. The seventh justification is that Jesus sough to prove how insufficient and hypocritical the old Judaic approach to creating relationship with God was.</w:t>
      </w:r>
      <w:r w:rsidR="002361CB" w:rsidRPr="00101BF4">
        <w:rPr>
          <w:rStyle w:val="FootnoteReference"/>
          <w:rFonts w:eastAsia="Times New Roman" w:cs="Times New Roman"/>
          <w:szCs w:val="24"/>
        </w:rPr>
        <w:footnoteReference w:id="5"/>
      </w:r>
      <w:r w:rsidRPr="00101BF4">
        <w:rPr>
          <w:rFonts w:eastAsia="Times New Roman" w:cs="Times New Roman"/>
          <w:szCs w:val="24"/>
        </w:rPr>
        <w:t xml:space="preserve"> Given he performed this miracle in the presence of his family members, close friends, peers, and individuals who would later hate on him, Jesus demonstrated to his divinity in a way that resonated with all people. In essence, the components of this sign revealed what would follow in Jesus’ earthly ministry.</w:t>
      </w:r>
    </w:p>
    <w:p w:rsidR="00BD08EF" w:rsidRPr="00101BF4" w:rsidRDefault="00BD08EF" w:rsidP="00BD08EF">
      <w:pPr>
        <w:spacing w:line="480" w:lineRule="auto"/>
        <w:ind w:firstLine="720"/>
        <w:rPr>
          <w:rFonts w:eastAsia="Times New Roman" w:cs="Times New Roman"/>
          <w:szCs w:val="24"/>
        </w:rPr>
      </w:pPr>
      <w:r w:rsidRPr="00101BF4">
        <w:rPr>
          <w:rFonts w:eastAsia="Times New Roman" w:cs="Times New Roman"/>
          <w:szCs w:val="24"/>
        </w:rPr>
        <w:t xml:space="preserve">The second miracle, the healing of an official’s son, is documented by John in the fourth chapter, in 9 verses, from 46 to 54. According to Towns, the act of performing a miracle to a </w:t>
      </w:r>
      <w:r w:rsidRPr="00101BF4">
        <w:rPr>
          <w:rFonts w:eastAsia="Times New Roman" w:cs="Times New Roman"/>
          <w:szCs w:val="24"/>
        </w:rPr>
        <w:lastRenderedPageBreak/>
        <w:t xml:space="preserve">high-ranking officer was significant move in Jesus’ ministry because it communicated the message of salvation for all, regardless of socioeconomic </w:t>
      </w:r>
      <w:r w:rsidR="00416C9E" w:rsidRPr="00101BF4">
        <w:rPr>
          <w:rFonts w:eastAsia="Times New Roman" w:cs="Times New Roman"/>
          <w:szCs w:val="24"/>
        </w:rPr>
        <w:t>status</w:t>
      </w:r>
      <w:r w:rsidRPr="00101BF4">
        <w:rPr>
          <w:rFonts w:eastAsia="Times New Roman" w:cs="Times New Roman"/>
          <w:szCs w:val="24"/>
        </w:rPr>
        <w:t>.</w:t>
      </w:r>
      <w:r w:rsidR="00416C9E" w:rsidRPr="00101BF4">
        <w:rPr>
          <w:rStyle w:val="FootnoteReference"/>
          <w:rFonts w:eastAsia="Times New Roman" w:cs="Times New Roman"/>
          <w:szCs w:val="24"/>
        </w:rPr>
        <w:footnoteReference w:id="6"/>
      </w:r>
      <w:r w:rsidRPr="00101BF4">
        <w:rPr>
          <w:rFonts w:eastAsia="Times New Roman" w:cs="Times New Roman"/>
          <w:szCs w:val="24"/>
        </w:rPr>
        <w:t xml:space="preserve"> Acts 11:14 reinforces the importance of this sign by saying that Jesus offered an example of God’s power to save because, on witnessing the miracle, the official and his whole household believed. Moreover, the miracle points at faith as a prerequisite for receiving God’s miracles. Undoubtedly, this miracle revealed Jesus’ status as God, who saves those who believe. </w:t>
      </w:r>
    </w:p>
    <w:p w:rsidR="00BD08EF" w:rsidRPr="00101BF4" w:rsidRDefault="00BD08EF" w:rsidP="00BD08EF">
      <w:pPr>
        <w:spacing w:line="480" w:lineRule="auto"/>
        <w:ind w:firstLine="720"/>
        <w:rPr>
          <w:rFonts w:eastAsia="Times New Roman" w:cs="Times New Roman"/>
          <w:szCs w:val="24"/>
        </w:rPr>
      </w:pPr>
      <w:r w:rsidRPr="00101BF4">
        <w:rPr>
          <w:rFonts w:eastAsia="Times New Roman" w:cs="Times New Roman"/>
          <w:szCs w:val="24"/>
        </w:rPr>
        <w:t>John has narrated the third miracle in two fold, describing the healing two men who are physically handicapped, blind and paralyzed. The paralyzed man had been in this condition for up to 38 years. Both events occurred on the Sabbath, attracting fierce criticisms from Pharisees. The controversial aspect of this miracle makes it unique and interesting because, as Towns put it, the teachers of the law and their followers did not recognize the happening as good news, but rather a blatant breach of their Sabbath Laws.</w:t>
      </w:r>
      <w:r w:rsidR="00416C9E" w:rsidRPr="00101BF4">
        <w:rPr>
          <w:rStyle w:val="FootnoteReference"/>
          <w:rFonts w:eastAsia="Times New Roman" w:cs="Times New Roman"/>
          <w:szCs w:val="24"/>
        </w:rPr>
        <w:footnoteReference w:id="7"/>
      </w:r>
      <w:r w:rsidRPr="00101BF4">
        <w:rPr>
          <w:rFonts w:eastAsia="Times New Roman" w:cs="Times New Roman"/>
          <w:szCs w:val="24"/>
        </w:rPr>
        <w:t xml:space="preserve"> The miracle has far-reaching implications to Jesus’ deity, showing that God is all-knowing, omnipresent, omnipotent, and does not stop doing good deeds for individual believers only because it is a day of rest and fellowship. </w:t>
      </w:r>
    </w:p>
    <w:p w:rsidR="00BD08EF" w:rsidRPr="00101BF4" w:rsidRDefault="00BD08EF" w:rsidP="00BD08EF">
      <w:pPr>
        <w:spacing w:line="480" w:lineRule="auto"/>
        <w:ind w:firstLine="720"/>
        <w:rPr>
          <w:rFonts w:eastAsia="Times New Roman" w:cs="Times New Roman"/>
          <w:szCs w:val="24"/>
        </w:rPr>
      </w:pPr>
      <w:r w:rsidRPr="00101BF4">
        <w:rPr>
          <w:rFonts w:eastAsia="Times New Roman" w:cs="Times New Roman"/>
          <w:szCs w:val="24"/>
        </w:rPr>
        <w:t xml:space="preserve">The fourth miracle, the feeding of five thousand people, is narrated by John in the sixth chapter, from verse 5 to 14. The miraculous activity remains one of the widely discussed signs by Jesus because he managed to bless and multiply only two and five and fish and loaves of bread, respectively, which, in turn, fed five thousand people, women and children excluded. Given the event’s famous status, it has plays a central role in proving the deity of Jesus. In other words, the miracle has been described as a living testimony of God’s concern about physical and </w:t>
      </w:r>
      <w:r w:rsidRPr="00101BF4">
        <w:rPr>
          <w:rFonts w:eastAsia="Times New Roman" w:cs="Times New Roman"/>
          <w:szCs w:val="24"/>
        </w:rPr>
        <w:lastRenderedPageBreak/>
        <w:t>spiritual needs of the believer.</w:t>
      </w:r>
      <w:r w:rsidR="00416C9E" w:rsidRPr="00101BF4">
        <w:rPr>
          <w:rStyle w:val="FootnoteReference"/>
          <w:rFonts w:eastAsia="Times New Roman" w:cs="Times New Roman"/>
          <w:szCs w:val="24"/>
        </w:rPr>
        <w:footnoteReference w:id="8"/>
      </w:r>
      <w:r w:rsidRPr="00101BF4">
        <w:rPr>
          <w:rFonts w:eastAsia="Times New Roman" w:cs="Times New Roman"/>
          <w:szCs w:val="24"/>
        </w:rPr>
        <w:t xml:space="preserve"> Equally important, this sign serves as a challenge for the church to continue Jesus’ compassionate acts by feeding the angry, interceding for the sick, and showing mercy for sinners through evangelism. </w:t>
      </w:r>
    </w:p>
    <w:p w:rsidR="00BD08EF" w:rsidRPr="00101BF4" w:rsidRDefault="00BD08EF" w:rsidP="00BD08EF">
      <w:pPr>
        <w:spacing w:line="480" w:lineRule="auto"/>
        <w:ind w:firstLine="720"/>
        <w:rPr>
          <w:rFonts w:eastAsia="Times New Roman" w:cs="Times New Roman"/>
          <w:szCs w:val="24"/>
        </w:rPr>
      </w:pPr>
      <w:r w:rsidRPr="00101BF4">
        <w:rPr>
          <w:rFonts w:eastAsia="Times New Roman" w:cs="Times New Roman"/>
          <w:szCs w:val="24"/>
        </w:rPr>
        <w:t>The fifth and sixth miracles by Jesus involved him walking on water and healing a man who had been blind since his birth. Both miraculous works are documented in John 6:16-21 and 9:1-7, respectively. While each of these miracles revolve around absolute faith, they differ in context and people involved. In particular, when the disciples saw Jesus walk on water, they thought it was a ghost because nobody had ever done so.</w:t>
      </w:r>
      <w:r w:rsidR="00101BF4" w:rsidRPr="00101BF4">
        <w:rPr>
          <w:rStyle w:val="FootnoteReference"/>
          <w:rFonts w:eastAsia="Times New Roman" w:cs="Times New Roman"/>
          <w:szCs w:val="24"/>
        </w:rPr>
        <w:footnoteReference w:id="9"/>
      </w:r>
      <w:r w:rsidRPr="00101BF4">
        <w:rPr>
          <w:rFonts w:eastAsia="Times New Roman" w:cs="Times New Roman"/>
          <w:szCs w:val="24"/>
        </w:rPr>
        <w:t xml:space="preserve"> When Peter attempted to, he could not make further steps on water because he feared drowning. This miracle has revealed Jesus’ divinity and God’s authority over nature and life. On the other hand, the healing the blind man in the sixth miracle is important in Jesus’ ministry because Jesus used it to demonstrate that being sick, physically handicapped, or poor do not necessarily suggest that a person is a sinner. Ultimately, the miracle indicated Jesus is God and can heal any forms of diseases, regardless of their origins. </w:t>
      </w:r>
    </w:p>
    <w:p w:rsidR="00BD08EF" w:rsidRPr="00101BF4" w:rsidRDefault="00BD08EF" w:rsidP="00BD08EF">
      <w:pPr>
        <w:spacing w:line="480" w:lineRule="auto"/>
        <w:ind w:firstLine="720"/>
        <w:rPr>
          <w:rFonts w:eastAsia="Times New Roman" w:cs="Times New Roman"/>
          <w:szCs w:val="24"/>
        </w:rPr>
      </w:pPr>
      <w:r w:rsidRPr="00101BF4">
        <w:rPr>
          <w:rFonts w:eastAsia="Times New Roman" w:cs="Times New Roman"/>
          <w:szCs w:val="24"/>
        </w:rPr>
        <w:t>The seventh and eight miracles, Jesus raises Lazarus from the dead and Jesus’ miraculous appearance after resurrection, respectively. In John 11:1-4, Lazarus spent up to four days in the tomb, and when Jesus brought him back to life, some people responded in disbelief, while the majority celebrated the event, praising God. This miracle revealed that Jesus is truly who he said he was at the beginning</w:t>
      </w:r>
      <w:r w:rsidR="00101BF4" w:rsidRPr="00101BF4">
        <w:rPr>
          <w:rFonts w:eastAsia="Times New Roman" w:cs="Times New Roman"/>
          <w:szCs w:val="24"/>
        </w:rPr>
        <w:t>: the son of God</w:t>
      </w:r>
      <w:r w:rsidRPr="00101BF4">
        <w:rPr>
          <w:rFonts w:eastAsia="Times New Roman" w:cs="Times New Roman"/>
          <w:szCs w:val="24"/>
        </w:rPr>
        <w:t>.</w:t>
      </w:r>
      <w:r w:rsidR="00101BF4" w:rsidRPr="00101BF4">
        <w:rPr>
          <w:rStyle w:val="FootnoteReference"/>
          <w:rFonts w:eastAsia="Times New Roman" w:cs="Times New Roman"/>
          <w:szCs w:val="24"/>
        </w:rPr>
        <w:footnoteReference w:id="10"/>
      </w:r>
      <w:r w:rsidRPr="00101BF4">
        <w:rPr>
          <w:rFonts w:eastAsia="Times New Roman" w:cs="Times New Roman"/>
          <w:szCs w:val="24"/>
        </w:rPr>
        <w:t xml:space="preserve"> Through his spoken word, the dead shall rise, with the miraculous event depicting Jesus’ power over life. Most importantly, Lazarus was a strong believer in Christ, which means his healing back to life symbolizes afterlife that, those who </w:t>
      </w:r>
      <w:r w:rsidRPr="00101BF4">
        <w:rPr>
          <w:rFonts w:eastAsia="Times New Roman" w:cs="Times New Roman"/>
          <w:szCs w:val="24"/>
        </w:rPr>
        <w:lastRenderedPageBreak/>
        <w:t xml:space="preserve">believe in Christ would live even </w:t>
      </w:r>
      <w:r w:rsidR="00101BF4" w:rsidRPr="00101BF4">
        <w:rPr>
          <w:rFonts w:eastAsia="Times New Roman" w:cs="Times New Roman"/>
          <w:szCs w:val="24"/>
        </w:rPr>
        <w:t>after death</w:t>
      </w:r>
      <w:r w:rsidRPr="00101BF4">
        <w:rPr>
          <w:rFonts w:eastAsia="Times New Roman" w:cs="Times New Roman"/>
          <w:szCs w:val="24"/>
        </w:rPr>
        <w:t xml:space="preserve">. The eight miracle reaffirms Jesus’ deity as the ultimate authority over death, offering the much-needed assurance to any believer that Jesus lives. </w:t>
      </w:r>
    </w:p>
    <w:p w:rsidR="00BD08EF" w:rsidRPr="00101BF4" w:rsidRDefault="00BD08EF" w:rsidP="00BD08EF">
      <w:pPr>
        <w:spacing w:line="480" w:lineRule="auto"/>
        <w:ind w:firstLine="720"/>
        <w:rPr>
          <w:rFonts w:eastAsia="Times New Roman" w:cs="Times New Roman"/>
          <w:szCs w:val="24"/>
        </w:rPr>
      </w:pPr>
    </w:p>
    <w:p w:rsidR="00BD08EF" w:rsidRPr="00101BF4" w:rsidRDefault="00BD08EF" w:rsidP="00BD08EF">
      <w:pPr>
        <w:spacing w:line="480" w:lineRule="auto"/>
        <w:rPr>
          <w:rFonts w:cs="Times New Roman"/>
          <w:szCs w:val="24"/>
        </w:rPr>
      </w:pPr>
    </w:p>
    <w:p w:rsidR="00BD08EF" w:rsidRDefault="00BD08EF" w:rsidP="00BD08EF">
      <w:pPr>
        <w:spacing w:line="480" w:lineRule="auto"/>
        <w:rPr>
          <w:rFonts w:cs="Times New Roman"/>
          <w:szCs w:val="24"/>
        </w:rPr>
      </w:pPr>
      <w:r w:rsidRPr="00101BF4">
        <w:rPr>
          <w:rFonts w:cs="Times New Roman"/>
          <w:szCs w:val="24"/>
        </w:rPr>
        <w:t xml:space="preserve"> </w:t>
      </w:r>
    </w:p>
    <w:p w:rsidR="00101BF4" w:rsidRDefault="00101BF4" w:rsidP="00BD08EF">
      <w:pPr>
        <w:spacing w:line="480" w:lineRule="auto"/>
        <w:rPr>
          <w:rFonts w:cs="Times New Roman"/>
          <w:szCs w:val="24"/>
        </w:rPr>
      </w:pPr>
    </w:p>
    <w:p w:rsidR="00101BF4" w:rsidRDefault="00101BF4" w:rsidP="00BD08EF">
      <w:pPr>
        <w:spacing w:line="480" w:lineRule="auto"/>
        <w:rPr>
          <w:rFonts w:cs="Times New Roman"/>
          <w:szCs w:val="24"/>
        </w:rPr>
      </w:pPr>
    </w:p>
    <w:p w:rsidR="00101BF4" w:rsidRDefault="00101BF4" w:rsidP="00BD08EF">
      <w:pPr>
        <w:spacing w:line="480" w:lineRule="auto"/>
        <w:rPr>
          <w:rFonts w:cs="Times New Roman"/>
          <w:szCs w:val="24"/>
        </w:rPr>
      </w:pPr>
    </w:p>
    <w:p w:rsidR="00101BF4" w:rsidRDefault="00101BF4" w:rsidP="00BD08EF">
      <w:pPr>
        <w:spacing w:line="480" w:lineRule="auto"/>
        <w:rPr>
          <w:rFonts w:cs="Times New Roman"/>
          <w:szCs w:val="24"/>
        </w:rPr>
      </w:pPr>
    </w:p>
    <w:p w:rsidR="00101BF4" w:rsidRDefault="00101BF4" w:rsidP="00BD08EF">
      <w:pPr>
        <w:spacing w:line="480" w:lineRule="auto"/>
        <w:rPr>
          <w:rFonts w:cs="Times New Roman"/>
          <w:szCs w:val="24"/>
        </w:rPr>
      </w:pPr>
    </w:p>
    <w:p w:rsidR="00101BF4" w:rsidRDefault="00101BF4" w:rsidP="00BD08EF">
      <w:pPr>
        <w:spacing w:line="480" w:lineRule="auto"/>
        <w:rPr>
          <w:rFonts w:cs="Times New Roman"/>
          <w:szCs w:val="24"/>
        </w:rPr>
      </w:pPr>
    </w:p>
    <w:p w:rsidR="00101BF4" w:rsidRDefault="00101BF4" w:rsidP="00BD08EF">
      <w:pPr>
        <w:spacing w:line="480" w:lineRule="auto"/>
        <w:rPr>
          <w:rFonts w:cs="Times New Roman"/>
          <w:szCs w:val="24"/>
        </w:rPr>
      </w:pPr>
    </w:p>
    <w:p w:rsidR="00101BF4" w:rsidRDefault="00101BF4" w:rsidP="00BD08EF">
      <w:pPr>
        <w:spacing w:line="480" w:lineRule="auto"/>
        <w:rPr>
          <w:rFonts w:cs="Times New Roman"/>
          <w:szCs w:val="24"/>
        </w:rPr>
      </w:pPr>
    </w:p>
    <w:p w:rsidR="00101BF4" w:rsidRDefault="00101BF4" w:rsidP="00BD08EF">
      <w:pPr>
        <w:spacing w:line="480" w:lineRule="auto"/>
        <w:rPr>
          <w:rFonts w:cs="Times New Roman"/>
          <w:szCs w:val="24"/>
        </w:rPr>
      </w:pPr>
    </w:p>
    <w:p w:rsidR="00101BF4" w:rsidRDefault="00101BF4" w:rsidP="00BD08EF">
      <w:pPr>
        <w:spacing w:line="480" w:lineRule="auto"/>
        <w:rPr>
          <w:rFonts w:cs="Times New Roman"/>
          <w:szCs w:val="24"/>
        </w:rPr>
      </w:pPr>
    </w:p>
    <w:p w:rsidR="00101BF4" w:rsidRDefault="00101BF4" w:rsidP="00BD08EF">
      <w:pPr>
        <w:spacing w:line="480" w:lineRule="auto"/>
        <w:rPr>
          <w:rFonts w:cs="Times New Roman"/>
          <w:szCs w:val="24"/>
        </w:rPr>
      </w:pPr>
    </w:p>
    <w:p w:rsidR="00101BF4" w:rsidRDefault="00101BF4" w:rsidP="00BD08EF">
      <w:pPr>
        <w:spacing w:line="480" w:lineRule="auto"/>
        <w:rPr>
          <w:rFonts w:cs="Times New Roman"/>
          <w:szCs w:val="24"/>
        </w:rPr>
      </w:pPr>
    </w:p>
    <w:p w:rsidR="00101BF4" w:rsidRDefault="00101BF4" w:rsidP="00BD08EF">
      <w:pPr>
        <w:spacing w:line="480" w:lineRule="auto"/>
        <w:rPr>
          <w:rFonts w:cs="Times New Roman"/>
          <w:szCs w:val="24"/>
        </w:rPr>
      </w:pPr>
    </w:p>
    <w:p w:rsidR="00101BF4" w:rsidRDefault="00101BF4" w:rsidP="00BD08EF">
      <w:pPr>
        <w:spacing w:line="480" w:lineRule="auto"/>
        <w:rPr>
          <w:rFonts w:cs="Times New Roman"/>
          <w:szCs w:val="24"/>
        </w:rPr>
      </w:pPr>
    </w:p>
    <w:p w:rsidR="00101BF4" w:rsidRDefault="00101BF4" w:rsidP="00BD08EF">
      <w:pPr>
        <w:spacing w:line="480" w:lineRule="auto"/>
        <w:rPr>
          <w:rFonts w:cs="Times New Roman"/>
          <w:szCs w:val="24"/>
        </w:rPr>
      </w:pPr>
    </w:p>
    <w:p w:rsidR="00101BF4" w:rsidRDefault="00101BF4" w:rsidP="00BD08EF">
      <w:pPr>
        <w:spacing w:line="480" w:lineRule="auto"/>
        <w:rPr>
          <w:rFonts w:cs="Times New Roman"/>
          <w:szCs w:val="24"/>
        </w:rPr>
      </w:pPr>
    </w:p>
    <w:p w:rsidR="00101BF4" w:rsidRPr="00101BF4" w:rsidRDefault="00101BF4" w:rsidP="00BD08EF">
      <w:pPr>
        <w:spacing w:line="480" w:lineRule="auto"/>
        <w:rPr>
          <w:rFonts w:cs="Times New Roman"/>
          <w:szCs w:val="24"/>
        </w:rPr>
      </w:pPr>
    </w:p>
    <w:p w:rsidR="00BD08EF" w:rsidRPr="00101BF4" w:rsidRDefault="00BD08EF" w:rsidP="00BD08EF">
      <w:pPr>
        <w:spacing w:line="480" w:lineRule="auto"/>
        <w:jc w:val="center"/>
        <w:rPr>
          <w:rFonts w:cs="Times New Roman"/>
          <w:szCs w:val="24"/>
        </w:rPr>
      </w:pPr>
      <w:r w:rsidRPr="00101BF4">
        <w:rPr>
          <w:rFonts w:cs="Times New Roman"/>
          <w:szCs w:val="24"/>
        </w:rPr>
        <w:lastRenderedPageBreak/>
        <w:t>Bibliography</w:t>
      </w:r>
    </w:p>
    <w:p w:rsidR="00BD08EF" w:rsidRPr="00101BF4" w:rsidRDefault="00BD08EF" w:rsidP="00BD08EF">
      <w:pPr>
        <w:spacing w:line="480" w:lineRule="auto"/>
        <w:rPr>
          <w:rFonts w:cs="Times New Roman"/>
          <w:szCs w:val="24"/>
        </w:rPr>
      </w:pPr>
      <w:r w:rsidRPr="00101BF4">
        <w:rPr>
          <w:rFonts w:cs="Times New Roman"/>
          <w:szCs w:val="24"/>
        </w:rPr>
        <w:t xml:space="preserve">Galadima, Bulus. </w:t>
      </w:r>
      <w:r w:rsidRPr="00101BF4">
        <w:rPr>
          <w:rFonts w:cs="Times New Roman"/>
          <w:i/>
          <w:szCs w:val="24"/>
        </w:rPr>
        <w:t>An African Perspective on Miracles and Divine Action</w:t>
      </w:r>
      <w:r w:rsidRPr="00101BF4">
        <w:rPr>
          <w:rFonts w:cs="Times New Roman"/>
          <w:szCs w:val="24"/>
        </w:rPr>
        <w:t>. 2020. &lt;https://henrycenter.tiu.edu/2019/12/an-african-perspective-on-miracles-and-divine-action/&gt;</w:t>
      </w:r>
    </w:p>
    <w:p w:rsidR="00BD08EF" w:rsidRPr="00101BF4" w:rsidRDefault="00BD08EF" w:rsidP="00BD08EF">
      <w:pPr>
        <w:spacing w:line="480" w:lineRule="auto"/>
        <w:rPr>
          <w:rFonts w:cs="Times New Roman"/>
          <w:szCs w:val="24"/>
        </w:rPr>
      </w:pPr>
      <w:r w:rsidRPr="00101BF4">
        <w:rPr>
          <w:rFonts w:cs="Times New Roman"/>
          <w:szCs w:val="24"/>
        </w:rPr>
        <w:t xml:space="preserve">Kelley, Andrew, “Miracles, Jesus, and Identity: A History of Research Regarding Jesus and Miracles with Special Attention to the Gospel of Mark,” </w:t>
      </w:r>
      <w:r w:rsidRPr="00101BF4">
        <w:rPr>
          <w:rFonts w:cs="Times New Roman"/>
          <w:i/>
          <w:szCs w:val="24"/>
        </w:rPr>
        <w:t>Currents in Biblical Research</w:t>
      </w:r>
      <w:r w:rsidRPr="00101BF4">
        <w:rPr>
          <w:rFonts w:cs="Times New Roman"/>
          <w:szCs w:val="24"/>
        </w:rPr>
        <w:t>, vol. 13, no. 1, 2014, pp. 82-106.</w:t>
      </w:r>
    </w:p>
    <w:p w:rsidR="00BD08EF" w:rsidRPr="00101BF4" w:rsidRDefault="00BD08EF" w:rsidP="00BD08EF">
      <w:pPr>
        <w:spacing w:line="480" w:lineRule="auto"/>
        <w:rPr>
          <w:rFonts w:cs="Times New Roman"/>
          <w:szCs w:val="24"/>
        </w:rPr>
      </w:pPr>
      <w:r w:rsidRPr="00101BF4">
        <w:rPr>
          <w:rFonts w:cs="Times New Roman"/>
          <w:szCs w:val="24"/>
        </w:rPr>
        <w:t xml:space="preserve">Morris, Leon. </w:t>
      </w:r>
      <w:r w:rsidRPr="00101BF4">
        <w:rPr>
          <w:rFonts w:cs="Times New Roman"/>
          <w:i/>
          <w:szCs w:val="24"/>
        </w:rPr>
        <w:t>Jesus is the Christ: Studies in the Theology of John</w:t>
      </w:r>
      <w:r w:rsidRPr="00101BF4">
        <w:rPr>
          <w:rFonts w:cs="Times New Roman"/>
          <w:szCs w:val="24"/>
        </w:rPr>
        <w:t xml:space="preserve">. Eerdrums, 1989, pp. 24-224. </w:t>
      </w:r>
    </w:p>
    <w:p w:rsidR="009D21F6" w:rsidRPr="00101BF4" w:rsidRDefault="00BD08EF" w:rsidP="00BD08EF">
      <w:pPr>
        <w:spacing w:line="480" w:lineRule="auto"/>
        <w:rPr>
          <w:rFonts w:cs="Times New Roman"/>
          <w:szCs w:val="24"/>
        </w:rPr>
      </w:pPr>
      <w:r w:rsidRPr="00101BF4">
        <w:rPr>
          <w:rFonts w:cs="Times New Roman"/>
          <w:szCs w:val="24"/>
        </w:rPr>
        <w:t xml:space="preserve">Towns, Elmer. “The Gospel of John: Believe and Live”. </w:t>
      </w:r>
      <w:r w:rsidRPr="00101BF4">
        <w:rPr>
          <w:rFonts w:cs="Times New Roman"/>
          <w:i/>
          <w:szCs w:val="24"/>
        </w:rPr>
        <w:t>Twenty-First Century Biblical Commentary Series</w:t>
      </w:r>
      <w:r w:rsidRPr="00101BF4">
        <w:rPr>
          <w:rFonts w:cs="Times New Roman"/>
          <w:szCs w:val="24"/>
        </w:rPr>
        <w:t>. AMG Publishers, 2013, pp. 32-256</w:t>
      </w:r>
      <w:r w:rsidR="00176ECF" w:rsidRPr="00101BF4">
        <w:rPr>
          <w:rFonts w:cs="Times New Roman"/>
          <w:szCs w:val="24"/>
        </w:rPr>
        <w:t>.</w:t>
      </w:r>
    </w:p>
    <w:sectPr w:rsidR="009D21F6" w:rsidRPr="00101BF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73F1" w:rsidRDefault="00DB73F1">
      <w:r>
        <w:separator/>
      </w:r>
    </w:p>
  </w:endnote>
  <w:endnote w:type="continuationSeparator" w:id="0">
    <w:p w:rsidR="00DB73F1" w:rsidRDefault="00DB7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73F1" w:rsidRDefault="00DB73F1">
      <w:r>
        <w:separator/>
      </w:r>
    </w:p>
  </w:footnote>
  <w:footnote w:type="continuationSeparator" w:id="0">
    <w:p w:rsidR="00DB73F1" w:rsidRDefault="00DB73F1">
      <w:r>
        <w:continuationSeparator/>
      </w:r>
    </w:p>
  </w:footnote>
  <w:footnote w:id="1">
    <w:p w:rsidR="00BD08EF" w:rsidRPr="00101BF4" w:rsidRDefault="00BD08EF" w:rsidP="00101BF4">
      <w:pPr>
        <w:rPr>
          <w:rFonts w:asciiTheme="minorHAnsi" w:hAnsiTheme="minorHAnsi" w:cs="Times New Roman"/>
          <w:sz w:val="20"/>
          <w:szCs w:val="20"/>
        </w:rPr>
      </w:pPr>
      <w:r w:rsidRPr="00101BF4">
        <w:rPr>
          <w:rStyle w:val="FootnoteReference"/>
          <w:rFonts w:asciiTheme="minorHAnsi" w:hAnsiTheme="minorHAnsi"/>
          <w:sz w:val="20"/>
          <w:szCs w:val="20"/>
        </w:rPr>
        <w:footnoteRef/>
      </w:r>
      <w:r w:rsidRPr="00101BF4">
        <w:rPr>
          <w:rFonts w:asciiTheme="minorHAnsi" w:hAnsiTheme="minorHAnsi"/>
          <w:sz w:val="20"/>
          <w:szCs w:val="20"/>
        </w:rPr>
        <w:t xml:space="preserve"> </w:t>
      </w:r>
      <w:r w:rsidRPr="00101BF4">
        <w:rPr>
          <w:rFonts w:asciiTheme="minorHAnsi" w:hAnsiTheme="minorHAnsi" w:cs="Times New Roman"/>
          <w:sz w:val="20"/>
          <w:szCs w:val="20"/>
        </w:rPr>
        <w:t xml:space="preserve">Kelley, Andrew, “Miracles, Jesus, and Identity: A History of Research Regarding Jesus and Miracles with Special Attention to the Gospel of Mark,” </w:t>
      </w:r>
      <w:r w:rsidRPr="00101BF4">
        <w:rPr>
          <w:rFonts w:asciiTheme="minorHAnsi" w:hAnsiTheme="minorHAnsi" w:cs="Times New Roman"/>
          <w:i/>
          <w:sz w:val="20"/>
          <w:szCs w:val="20"/>
        </w:rPr>
        <w:t>Currents in Biblical Research</w:t>
      </w:r>
      <w:r w:rsidRPr="00101BF4">
        <w:rPr>
          <w:rFonts w:asciiTheme="minorHAnsi" w:hAnsiTheme="minorHAnsi" w:cs="Times New Roman"/>
          <w:sz w:val="20"/>
          <w:szCs w:val="20"/>
        </w:rPr>
        <w:t>, vo</w:t>
      </w:r>
      <w:r w:rsidRPr="00101BF4">
        <w:rPr>
          <w:rFonts w:asciiTheme="minorHAnsi" w:hAnsiTheme="minorHAnsi" w:cs="Times New Roman"/>
          <w:sz w:val="20"/>
          <w:szCs w:val="20"/>
        </w:rPr>
        <w:t>l. 13, no. 1, 2014, p. 89</w:t>
      </w:r>
      <w:r w:rsidR="00516846" w:rsidRPr="00101BF4">
        <w:rPr>
          <w:rFonts w:asciiTheme="minorHAnsi" w:hAnsiTheme="minorHAnsi" w:cs="Times New Roman"/>
          <w:sz w:val="20"/>
          <w:szCs w:val="20"/>
        </w:rPr>
        <w:t xml:space="preserve">. </w:t>
      </w:r>
    </w:p>
  </w:footnote>
  <w:footnote w:id="2">
    <w:p w:rsidR="00516846" w:rsidRPr="00101BF4" w:rsidRDefault="00516846" w:rsidP="00101BF4">
      <w:pPr>
        <w:rPr>
          <w:rFonts w:asciiTheme="minorHAnsi" w:hAnsiTheme="minorHAnsi" w:cs="Times New Roman"/>
          <w:sz w:val="20"/>
          <w:szCs w:val="20"/>
        </w:rPr>
      </w:pPr>
      <w:r w:rsidRPr="00101BF4">
        <w:rPr>
          <w:rStyle w:val="FootnoteReference"/>
          <w:rFonts w:asciiTheme="minorHAnsi" w:hAnsiTheme="minorHAnsi"/>
          <w:sz w:val="20"/>
          <w:szCs w:val="20"/>
        </w:rPr>
        <w:footnoteRef/>
      </w:r>
      <w:r w:rsidRPr="00101BF4">
        <w:rPr>
          <w:rFonts w:asciiTheme="minorHAnsi" w:hAnsiTheme="minorHAnsi"/>
          <w:sz w:val="20"/>
          <w:szCs w:val="20"/>
        </w:rPr>
        <w:t xml:space="preserve"> </w:t>
      </w:r>
      <w:r w:rsidRPr="00101BF4">
        <w:rPr>
          <w:rFonts w:asciiTheme="minorHAnsi" w:hAnsiTheme="minorHAnsi" w:cs="Times New Roman"/>
          <w:sz w:val="20"/>
          <w:szCs w:val="20"/>
        </w:rPr>
        <w:t xml:space="preserve">Morris, Leon. </w:t>
      </w:r>
      <w:r w:rsidRPr="00101BF4">
        <w:rPr>
          <w:rFonts w:asciiTheme="minorHAnsi" w:hAnsiTheme="minorHAnsi" w:cs="Times New Roman"/>
          <w:i/>
          <w:sz w:val="20"/>
          <w:szCs w:val="20"/>
        </w:rPr>
        <w:t>Jesus is the Christ: Studies in the Theology of John</w:t>
      </w:r>
      <w:r w:rsidRPr="00101BF4">
        <w:rPr>
          <w:rFonts w:asciiTheme="minorHAnsi" w:hAnsiTheme="minorHAnsi" w:cs="Times New Roman"/>
          <w:sz w:val="20"/>
          <w:szCs w:val="20"/>
        </w:rPr>
        <w:t>. Eerdrums, 1989, p. 21</w:t>
      </w:r>
      <w:r w:rsidRPr="00101BF4">
        <w:rPr>
          <w:rFonts w:asciiTheme="minorHAnsi" w:hAnsiTheme="minorHAnsi" w:cs="Times New Roman"/>
          <w:sz w:val="20"/>
          <w:szCs w:val="20"/>
        </w:rPr>
        <w:t xml:space="preserve">. </w:t>
      </w:r>
    </w:p>
  </w:footnote>
  <w:footnote w:id="3">
    <w:p w:rsidR="00203A2E" w:rsidRPr="00101BF4" w:rsidRDefault="00203A2E" w:rsidP="00101BF4">
      <w:pPr>
        <w:rPr>
          <w:rFonts w:asciiTheme="minorHAnsi" w:hAnsiTheme="minorHAnsi" w:cs="Times New Roman"/>
          <w:sz w:val="20"/>
          <w:szCs w:val="20"/>
        </w:rPr>
      </w:pPr>
      <w:r w:rsidRPr="00101BF4">
        <w:rPr>
          <w:rStyle w:val="FootnoteReference"/>
          <w:rFonts w:asciiTheme="minorHAnsi" w:hAnsiTheme="minorHAnsi"/>
          <w:sz w:val="20"/>
          <w:szCs w:val="20"/>
        </w:rPr>
        <w:footnoteRef/>
      </w:r>
      <w:r w:rsidRPr="00101BF4">
        <w:rPr>
          <w:rFonts w:asciiTheme="minorHAnsi" w:hAnsiTheme="minorHAnsi"/>
          <w:sz w:val="20"/>
          <w:szCs w:val="20"/>
        </w:rPr>
        <w:t xml:space="preserve"> </w:t>
      </w:r>
      <w:r w:rsidR="00101BF4">
        <w:rPr>
          <w:rFonts w:asciiTheme="minorHAnsi" w:hAnsiTheme="minorHAnsi" w:cs="Times New Roman"/>
          <w:sz w:val="20"/>
          <w:szCs w:val="20"/>
        </w:rPr>
        <w:t>Ibid</w:t>
      </w:r>
      <w:r w:rsidRPr="00101BF4">
        <w:rPr>
          <w:rFonts w:asciiTheme="minorHAnsi" w:hAnsiTheme="minorHAnsi" w:cs="Times New Roman"/>
          <w:sz w:val="20"/>
          <w:szCs w:val="20"/>
        </w:rPr>
        <w:t>, p. 136</w:t>
      </w:r>
      <w:r w:rsidRPr="00101BF4">
        <w:rPr>
          <w:rFonts w:asciiTheme="minorHAnsi" w:hAnsiTheme="minorHAnsi" w:cs="Times New Roman"/>
          <w:sz w:val="20"/>
          <w:szCs w:val="20"/>
        </w:rPr>
        <w:t xml:space="preserve">. </w:t>
      </w:r>
    </w:p>
    <w:p w:rsidR="00203A2E" w:rsidRPr="00101BF4" w:rsidRDefault="00203A2E" w:rsidP="00101BF4">
      <w:pPr>
        <w:pStyle w:val="FootnoteText"/>
        <w:rPr>
          <w:rFonts w:asciiTheme="minorHAnsi" w:hAnsiTheme="minorHAnsi"/>
        </w:rPr>
      </w:pPr>
    </w:p>
  </w:footnote>
  <w:footnote w:id="4">
    <w:p w:rsidR="00176ECF" w:rsidRPr="00101BF4" w:rsidRDefault="00176ECF" w:rsidP="00101BF4">
      <w:pPr>
        <w:rPr>
          <w:rFonts w:asciiTheme="minorHAnsi" w:hAnsiTheme="minorHAnsi" w:cs="Times New Roman"/>
          <w:sz w:val="20"/>
          <w:szCs w:val="20"/>
        </w:rPr>
      </w:pPr>
      <w:r w:rsidRPr="00101BF4">
        <w:rPr>
          <w:rStyle w:val="FootnoteReference"/>
          <w:rFonts w:asciiTheme="minorHAnsi" w:hAnsiTheme="minorHAnsi"/>
          <w:sz w:val="20"/>
          <w:szCs w:val="20"/>
        </w:rPr>
        <w:footnoteRef/>
      </w:r>
      <w:r w:rsidRPr="00101BF4">
        <w:rPr>
          <w:rFonts w:asciiTheme="minorHAnsi" w:hAnsiTheme="minorHAnsi"/>
          <w:sz w:val="20"/>
          <w:szCs w:val="20"/>
        </w:rPr>
        <w:t xml:space="preserve"> </w:t>
      </w:r>
      <w:r w:rsidRPr="00101BF4">
        <w:rPr>
          <w:rFonts w:asciiTheme="minorHAnsi" w:hAnsiTheme="minorHAnsi" w:cs="Times New Roman"/>
          <w:sz w:val="20"/>
          <w:szCs w:val="20"/>
        </w:rPr>
        <w:t xml:space="preserve">Towns, Elmer. “The Gospel of John: Believe and Live”. </w:t>
      </w:r>
      <w:r w:rsidRPr="00101BF4">
        <w:rPr>
          <w:rFonts w:asciiTheme="minorHAnsi" w:hAnsiTheme="minorHAnsi" w:cs="Times New Roman"/>
          <w:i/>
          <w:sz w:val="20"/>
          <w:szCs w:val="20"/>
        </w:rPr>
        <w:t>Twenty-First Century Biblical Commentary Series</w:t>
      </w:r>
      <w:r w:rsidRPr="00101BF4">
        <w:rPr>
          <w:rFonts w:asciiTheme="minorHAnsi" w:hAnsiTheme="minorHAnsi" w:cs="Times New Roman"/>
          <w:sz w:val="20"/>
          <w:szCs w:val="20"/>
        </w:rPr>
        <w:t>. A</w:t>
      </w:r>
      <w:r w:rsidR="00AB7FC1" w:rsidRPr="00101BF4">
        <w:rPr>
          <w:rFonts w:asciiTheme="minorHAnsi" w:hAnsiTheme="minorHAnsi" w:cs="Times New Roman"/>
          <w:sz w:val="20"/>
          <w:szCs w:val="20"/>
        </w:rPr>
        <w:t xml:space="preserve">MG Publishers, 2013, </w:t>
      </w:r>
      <w:r w:rsidRPr="00101BF4">
        <w:rPr>
          <w:rFonts w:asciiTheme="minorHAnsi" w:hAnsiTheme="minorHAnsi" w:cs="Times New Roman"/>
          <w:sz w:val="20"/>
          <w:szCs w:val="20"/>
        </w:rPr>
        <w:t xml:space="preserve">p. </w:t>
      </w:r>
      <w:r w:rsidRPr="00101BF4">
        <w:rPr>
          <w:rFonts w:asciiTheme="minorHAnsi" w:hAnsiTheme="minorHAnsi" w:cs="Times New Roman"/>
          <w:sz w:val="20"/>
          <w:szCs w:val="20"/>
        </w:rPr>
        <w:t>112</w:t>
      </w:r>
      <w:r w:rsidRPr="00101BF4">
        <w:rPr>
          <w:rFonts w:asciiTheme="minorHAnsi" w:hAnsiTheme="minorHAnsi" w:cs="Times New Roman"/>
          <w:sz w:val="20"/>
          <w:szCs w:val="20"/>
        </w:rPr>
        <w:t>.</w:t>
      </w:r>
    </w:p>
  </w:footnote>
  <w:footnote w:id="5">
    <w:p w:rsidR="002361CB" w:rsidRPr="00101BF4" w:rsidRDefault="002361CB" w:rsidP="00101BF4">
      <w:pPr>
        <w:rPr>
          <w:rFonts w:asciiTheme="minorHAnsi" w:hAnsiTheme="minorHAnsi" w:cs="Times New Roman"/>
          <w:sz w:val="20"/>
          <w:szCs w:val="20"/>
        </w:rPr>
      </w:pPr>
      <w:r w:rsidRPr="00101BF4">
        <w:rPr>
          <w:rStyle w:val="FootnoteReference"/>
          <w:rFonts w:asciiTheme="minorHAnsi" w:hAnsiTheme="minorHAnsi"/>
          <w:sz w:val="20"/>
          <w:szCs w:val="20"/>
        </w:rPr>
        <w:footnoteRef/>
      </w:r>
      <w:r w:rsidRPr="00101BF4">
        <w:rPr>
          <w:rFonts w:asciiTheme="minorHAnsi" w:hAnsiTheme="minorHAnsi"/>
          <w:sz w:val="20"/>
          <w:szCs w:val="20"/>
        </w:rPr>
        <w:t xml:space="preserve"> </w:t>
      </w:r>
      <w:r w:rsidR="00101BF4">
        <w:rPr>
          <w:rFonts w:asciiTheme="minorHAnsi" w:hAnsiTheme="minorHAnsi" w:cs="Times New Roman"/>
          <w:sz w:val="20"/>
          <w:szCs w:val="20"/>
        </w:rPr>
        <w:t>Ibid</w:t>
      </w:r>
      <w:r w:rsidRPr="00101BF4">
        <w:rPr>
          <w:rFonts w:asciiTheme="minorHAnsi" w:hAnsiTheme="minorHAnsi" w:cs="Times New Roman"/>
          <w:sz w:val="20"/>
          <w:szCs w:val="20"/>
        </w:rPr>
        <w:t>, p</w:t>
      </w:r>
      <w:r w:rsidRPr="00101BF4">
        <w:rPr>
          <w:rFonts w:asciiTheme="minorHAnsi" w:hAnsiTheme="minorHAnsi" w:cs="Times New Roman"/>
          <w:sz w:val="20"/>
          <w:szCs w:val="20"/>
        </w:rPr>
        <w:t>.</w:t>
      </w:r>
      <w:r w:rsidRPr="00101BF4">
        <w:rPr>
          <w:rFonts w:asciiTheme="minorHAnsi" w:hAnsiTheme="minorHAnsi" w:cs="Times New Roman"/>
          <w:sz w:val="20"/>
          <w:szCs w:val="20"/>
        </w:rPr>
        <w:t xml:space="preserve"> 97. </w:t>
      </w:r>
    </w:p>
    <w:p w:rsidR="002361CB" w:rsidRPr="00101BF4" w:rsidRDefault="002361CB" w:rsidP="00101BF4">
      <w:pPr>
        <w:pStyle w:val="FootnoteText"/>
        <w:rPr>
          <w:rFonts w:asciiTheme="minorHAnsi" w:hAnsiTheme="minorHAnsi"/>
        </w:rPr>
      </w:pPr>
    </w:p>
  </w:footnote>
  <w:footnote w:id="6">
    <w:p w:rsidR="00416C9E" w:rsidRPr="00101BF4" w:rsidRDefault="00416C9E" w:rsidP="00101BF4">
      <w:pPr>
        <w:rPr>
          <w:rFonts w:asciiTheme="minorHAnsi" w:hAnsiTheme="minorHAnsi" w:cs="Times New Roman"/>
          <w:sz w:val="20"/>
          <w:szCs w:val="20"/>
        </w:rPr>
      </w:pPr>
      <w:r w:rsidRPr="00101BF4">
        <w:rPr>
          <w:rStyle w:val="FootnoteReference"/>
          <w:rFonts w:asciiTheme="minorHAnsi" w:hAnsiTheme="minorHAnsi"/>
          <w:sz w:val="20"/>
          <w:szCs w:val="20"/>
        </w:rPr>
        <w:footnoteRef/>
      </w:r>
      <w:r w:rsidRPr="00101BF4">
        <w:rPr>
          <w:rFonts w:asciiTheme="minorHAnsi" w:hAnsiTheme="minorHAnsi"/>
          <w:sz w:val="20"/>
          <w:szCs w:val="20"/>
        </w:rPr>
        <w:t xml:space="preserve"> </w:t>
      </w:r>
      <w:r w:rsidRPr="00101BF4">
        <w:rPr>
          <w:rFonts w:asciiTheme="minorHAnsi" w:hAnsiTheme="minorHAnsi" w:cs="Times New Roman"/>
          <w:sz w:val="20"/>
          <w:szCs w:val="20"/>
        </w:rPr>
        <w:t xml:space="preserve">Towns, Elmer. “The Gospel of John: Believe and Live”. </w:t>
      </w:r>
      <w:r w:rsidRPr="00101BF4">
        <w:rPr>
          <w:rFonts w:asciiTheme="minorHAnsi" w:hAnsiTheme="minorHAnsi" w:cs="Times New Roman"/>
          <w:i/>
          <w:sz w:val="20"/>
          <w:szCs w:val="20"/>
        </w:rPr>
        <w:t>Twenty-First Century Biblical Commentary Series</w:t>
      </w:r>
      <w:r w:rsidRPr="00101BF4">
        <w:rPr>
          <w:rFonts w:asciiTheme="minorHAnsi" w:hAnsiTheme="minorHAnsi" w:cs="Times New Roman"/>
          <w:sz w:val="20"/>
          <w:szCs w:val="20"/>
        </w:rPr>
        <w:t>. A</w:t>
      </w:r>
      <w:r w:rsidRPr="00101BF4">
        <w:rPr>
          <w:rFonts w:asciiTheme="minorHAnsi" w:hAnsiTheme="minorHAnsi" w:cs="Times New Roman"/>
          <w:sz w:val="20"/>
          <w:szCs w:val="20"/>
        </w:rPr>
        <w:t>MG Publishers, 2013, p. 115</w:t>
      </w:r>
      <w:r w:rsidRPr="00101BF4">
        <w:rPr>
          <w:rFonts w:asciiTheme="minorHAnsi" w:hAnsiTheme="minorHAnsi" w:cs="Times New Roman"/>
          <w:sz w:val="20"/>
          <w:szCs w:val="20"/>
        </w:rPr>
        <w:t>.</w:t>
      </w:r>
    </w:p>
  </w:footnote>
  <w:footnote w:id="7">
    <w:p w:rsidR="00416C9E" w:rsidRPr="00101BF4" w:rsidRDefault="00416C9E" w:rsidP="00101BF4">
      <w:pPr>
        <w:rPr>
          <w:rFonts w:asciiTheme="minorHAnsi" w:hAnsiTheme="minorHAnsi" w:cs="Times New Roman"/>
          <w:sz w:val="20"/>
          <w:szCs w:val="20"/>
        </w:rPr>
      </w:pPr>
      <w:r w:rsidRPr="00101BF4">
        <w:rPr>
          <w:rStyle w:val="FootnoteReference"/>
          <w:rFonts w:asciiTheme="minorHAnsi" w:hAnsiTheme="minorHAnsi"/>
          <w:sz w:val="20"/>
          <w:szCs w:val="20"/>
        </w:rPr>
        <w:footnoteRef/>
      </w:r>
      <w:r w:rsidRPr="00101BF4">
        <w:rPr>
          <w:rFonts w:asciiTheme="minorHAnsi" w:hAnsiTheme="minorHAnsi"/>
          <w:sz w:val="20"/>
          <w:szCs w:val="20"/>
        </w:rPr>
        <w:t xml:space="preserve"> </w:t>
      </w:r>
      <w:r w:rsidR="00101BF4">
        <w:rPr>
          <w:rFonts w:asciiTheme="minorHAnsi" w:hAnsiTheme="minorHAnsi" w:cs="Times New Roman"/>
          <w:sz w:val="20"/>
          <w:szCs w:val="20"/>
        </w:rPr>
        <w:t>Ibid,</w:t>
      </w:r>
      <w:r w:rsidRPr="00101BF4">
        <w:rPr>
          <w:rFonts w:asciiTheme="minorHAnsi" w:hAnsiTheme="minorHAnsi" w:cs="Times New Roman"/>
          <w:sz w:val="20"/>
          <w:szCs w:val="20"/>
        </w:rPr>
        <w:t xml:space="preserve"> p. 198</w:t>
      </w:r>
      <w:r w:rsidRPr="00101BF4">
        <w:rPr>
          <w:rFonts w:asciiTheme="minorHAnsi" w:hAnsiTheme="minorHAnsi" w:cs="Times New Roman"/>
          <w:sz w:val="20"/>
          <w:szCs w:val="20"/>
        </w:rPr>
        <w:t>.</w:t>
      </w:r>
    </w:p>
    <w:p w:rsidR="00416C9E" w:rsidRPr="00101BF4" w:rsidRDefault="00416C9E" w:rsidP="00101BF4">
      <w:pPr>
        <w:pStyle w:val="FootnoteText"/>
        <w:rPr>
          <w:rFonts w:asciiTheme="minorHAnsi" w:hAnsiTheme="minorHAnsi"/>
        </w:rPr>
      </w:pPr>
    </w:p>
  </w:footnote>
  <w:footnote w:id="8">
    <w:p w:rsidR="00416C9E" w:rsidRPr="00101BF4" w:rsidRDefault="00416C9E" w:rsidP="00101BF4">
      <w:pPr>
        <w:rPr>
          <w:rFonts w:asciiTheme="minorHAnsi" w:hAnsiTheme="minorHAnsi" w:cs="Times New Roman"/>
          <w:sz w:val="20"/>
          <w:szCs w:val="20"/>
        </w:rPr>
      </w:pPr>
      <w:r w:rsidRPr="00101BF4">
        <w:rPr>
          <w:rStyle w:val="FootnoteReference"/>
          <w:rFonts w:asciiTheme="minorHAnsi" w:hAnsiTheme="minorHAnsi"/>
          <w:sz w:val="20"/>
          <w:szCs w:val="20"/>
        </w:rPr>
        <w:footnoteRef/>
      </w:r>
      <w:r w:rsidRPr="00101BF4">
        <w:rPr>
          <w:rFonts w:asciiTheme="minorHAnsi" w:hAnsiTheme="minorHAnsi"/>
          <w:sz w:val="20"/>
          <w:szCs w:val="20"/>
        </w:rPr>
        <w:t xml:space="preserve"> </w:t>
      </w:r>
      <w:r w:rsidRPr="00101BF4">
        <w:rPr>
          <w:rFonts w:asciiTheme="minorHAnsi" w:hAnsiTheme="minorHAnsi" w:cs="Times New Roman"/>
          <w:sz w:val="20"/>
          <w:szCs w:val="20"/>
        </w:rPr>
        <w:t xml:space="preserve">Morris, Leon. </w:t>
      </w:r>
      <w:r w:rsidRPr="00101BF4">
        <w:rPr>
          <w:rFonts w:asciiTheme="minorHAnsi" w:hAnsiTheme="minorHAnsi" w:cs="Times New Roman"/>
          <w:i/>
          <w:sz w:val="20"/>
          <w:szCs w:val="20"/>
        </w:rPr>
        <w:t>Jesus is the Christ: Studies in the Theology of John</w:t>
      </w:r>
      <w:r w:rsidRPr="00101BF4">
        <w:rPr>
          <w:rFonts w:asciiTheme="minorHAnsi" w:hAnsiTheme="minorHAnsi" w:cs="Times New Roman"/>
          <w:sz w:val="20"/>
          <w:szCs w:val="20"/>
        </w:rPr>
        <w:t xml:space="preserve">. Eerdrums, 1989, p. 132. </w:t>
      </w:r>
    </w:p>
  </w:footnote>
  <w:footnote w:id="9">
    <w:p w:rsidR="00101BF4" w:rsidRPr="00101BF4" w:rsidRDefault="00101BF4" w:rsidP="00101BF4">
      <w:pPr>
        <w:rPr>
          <w:rFonts w:asciiTheme="minorHAnsi" w:hAnsiTheme="minorHAnsi" w:cs="Times New Roman"/>
          <w:sz w:val="20"/>
          <w:szCs w:val="20"/>
        </w:rPr>
      </w:pPr>
      <w:r w:rsidRPr="00101BF4">
        <w:rPr>
          <w:rStyle w:val="FootnoteReference"/>
          <w:rFonts w:asciiTheme="minorHAnsi" w:hAnsiTheme="minorHAnsi"/>
          <w:sz w:val="20"/>
          <w:szCs w:val="20"/>
        </w:rPr>
        <w:footnoteRef/>
      </w:r>
      <w:r w:rsidRPr="00101BF4">
        <w:rPr>
          <w:rFonts w:asciiTheme="minorHAnsi" w:hAnsiTheme="minorHAnsi"/>
          <w:sz w:val="20"/>
          <w:szCs w:val="20"/>
        </w:rPr>
        <w:t xml:space="preserve"> </w:t>
      </w:r>
      <w:r w:rsidRPr="00101BF4">
        <w:rPr>
          <w:rFonts w:asciiTheme="minorHAnsi" w:hAnsiTheme="minorHAnsi" w:cs="Times New Roman"/>
          <w:sz w:val="20"/>
          <w:szCs w:val="20"/>
        </w:rPr>
        <w:t xml:space="preserve">Kelley, Andrew, “Miracles, Jesus, and Identity: A History of Research Regarding Jesus and Miracles with Special Attention to the Gospel of Mark,” </w:t>
      </w:r>
      <w:r w:rsidRPr="00101BF4">
        <w:rPr>
          <w:rFonts w:asciiTheme="minorHAnsi" w:hAnsiTheme="minorHAnsi" w:cs="Times New Roman"/>
          <w:i/>
          <w:sz w:val="20"/>
          <w:szCs w:val="20"/>
        </w:rPr>
        <w:t>Currents in Biblical Research</w:t>
      </w:r>
      <w:r w:rsidRPr="00101BF4">
        <w:rPr>
          <w:rFonts w:asciiTheme="minorHAnsi" w:hAnsiTheme="minorHAnsi" w:cs="Times New Roman"/>
          <w:sz w:val="20"/>
          <w:szCs w:val="20"/>
        </w:rPr>
        <w:t>, vo</w:t>
      </w:r>
      <w:r w:rsidRPr="00101BF4">
        <w:rPr>
          <w:rFonts w:asciiTheme="minorHAnsi" w:hAnsiTheme="minorHAnsi" w:cs="Times New Roman"/>
          <w:sz w:val="20"/>
          <w:szCs w:val="20"/>
        </w:rPr>
        <w:t>l. 13, no. 1, 2014, p. 97</w:t>
      </w:r>
      <w:r w:rsidRPr="00101BF4">
        <w:rPr>
          <w:rFonts w:asciiTheme="minorHAnsi" w:hAnsiTheme="minorHAnsi" w:cs="Times New Roman"/>
          <w:sz w:val="20"/>
          <w:szCs w:val="20"/>
        </w:rPr>
        <w:t>.</w:t>
      </w:r>
    </w:p>
  </w:footnote>
  <w:footnote w:id="10">
    <w:p w:rsidR="00101BF4" w:rsidRPr="00101BF4" w:rsidRDefault="00101BF4" w:rsidP="00101BF4">
      <w:pPr>
        <w:pStyle w:val="FootnoteText"/>
        <w:rPr>
          <w:rFonts w:asciiTheme="minorHAnsi" w:hAnsiTheme="minorHAnsi"/>
        </w:rPr>
      </w:pPr>
      <w:r w:rsidRPr="00101BF4">
        <w:rPr>
          <w:rStyle w:val="FootnoteReference"/>
          <w:rFonts w:asciiTheme="minorHAnsi" w:hAnsiTheme="minorHAnsi"/>
        </w:rPr>
        <w:footnoteRef/>
      </w:r>
      <w:r w:rsidRPr="00101BF4">
        <w:rPr>
          <w:rFonts w:asciiTheme="minorHAnsi" w:hAnsiTheme="minorHAnsi"/>
        </w:rPr>
        <w:t xml:space="preserve"> </w:t>
      </w:r>
      <w:r w:rsidRPr="00101BF4">
        <w:rPr>
          <w:rFonts w:asciiTheme="minorHAnsi" w:hAnsiTheme="minorHAnsi" w:cs="Times New Roman"/>
        </w:rPr>
        <w:t xml:space="preserve">Galadima, Bulus. </w:t>
      </w:r>
      <w:r w:rsidRPr="00101BF4">
        <w:rPr>
          <w:rFonts w:asciiTheme="minorHAnsi" w:hAnsiTheme="minorHAnsi" w:cs="Times New Roman"/>
          <w:i/>
        </w:rPr>
        <w:t>An African Perspective on Miracles and Divine Action</w:t>
      </w:r>
      <w:r w:rsidRPr="00101BF4">
        <w:rPr>
          <w:rFonts w:asciiTheme="minorHAnsi" w:hAnsiTheme="minorHAnsi" w:cs="Times New Roman"/>
        </w:rPr>
        <w:t>. 2020.</w:t>
      </w:r>
      <w:r w:rsidRPr="00101BF4">
        <w:rPr>
          <w:rFonts w:asciiTheme="minorHAnsi" w:hAnsiTheme="minorHAnsi" w:cs="Times New Roman"/>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B4D" w:rsidRDefault="00AB5D84" w:rsidP="00256419">
    <w:pPr>
      <w:pStyle w:val="Header"/>
      <w:jc w:val="right"/>
    </w:pPr>
    <w:r>
      <w:fldChar w:fldCharType="begin"/>
    </w:r>
    <w:r>
      <w:instrText xml:space="preserve"> PAGE   \* MERGEFORMAT </w:instrText>
    </w:r>
    <w:r>
      <w:fldChar w:fldCharType="separate"/>
    </w:r>
    <w:r w:rsidR="00B81A16">
      <w:rPr>
        <w:noProof/>
      </w:rPr>
      <w:t>2</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F0E"/>
    <w:rsid w:val="00011541"/>
    <w:rsid w:val="000660D8"/>
    <w:rsid w:val="00073210"/>
    <w:rsid w:val="000A5A14"/>
    <w:rsid w:val="000C40E9"/>
    <w:rsid w:val="000C5009"/>
    <w:rsid w:val="000F179A"/>
    <w:rsid w:val="000F334A"/>
    <w:rsid w:val="000F5759"/>
    <w:rsid w:val="00101BF4"/>
    <w:rsid w:val="00105D9F"/>
    <w:rsid w:val="00144B4C"/>
    <w:rsid w:val="001459AB"/>
    <w:rsid w:val="00176ECF"/>
    <w:rsid w:val="00183292"/>
    <w:rsid w:val="0019516A"/>
    <w:rsid w:val="001B2F77"/>
    <w:rsid w:val="001D2B9C"/>
    <w:rsid w:val="001E2F68"/>
    <w:rsid w:val="001E3341"/>
    <w:rsid w:val="001F17E6"/>
    <w:rsid w:val="00203A2E"/>
    <w:rsid w:val="00204FF6"/>
    <w:rsid w:val="002361CB"/>
    <w:rsid w:val="002369C1"/>
    <w:rsid w:val="0026070C"/>
    <w:rsid w:val="0026677B"/>
    <w:rsid w:val="00281807"/>
    <w:rsid w:val="002821D9"/>
    <w:rsid w:val="002D328D"/>
    <w:rsid w:val="003059C1"/>
    <w:rsid w:val="00311EC2"/>
    <w:rsid w:val="0033478D"/>
    <w:rsid w:val="00342390"/>
    <w:rsid w:val="003423D9"/>
    <w:rsid w:val="00345100"/>
    <w:rsid w:val="003518CE"/>
    <w:rsid w:val="0036145A"/>
    <w:rsid w:val="00372AD6"/>
    <w:rsid w:val="00390B1B"/>
    <w:rsid w:val="003933F3"/>
    <w:rsid w:val="003A613E"/>
    <w:rsid w:val="003B7313"/>
    <w:rsid w:val="003C2383"/>
    <w:rsid w:val="003D232A"/>
    <w:rsid w:val="003F2341"/>
    <w:rsid w:val="00404072"/>
    <w:rsid w:val="004076E4"/>
    <w:rsid w:val="00415436"/>
    <w:rsid w:val="00416C9E"/>
    <w:rsid w:val="004421FE"/>
    <w:rsid w:val="0044584B"/>
    <w:rsid w:val="004627C2"/>
    <w:rsid w:val="004749FF"/>
    <w:rsid w:val="00494798"/>
    <w:rsid w:val="004D4892"/>
    <w:rsid w:val="004F4B2D"/>
    <w:rsid w:val="004F4C79"/>
    <w:rsid w:val="004F5090"/>
    <w:rsid w:val="0051572B"/>
    <w:rsid w:val="00516846"/>
    <w:rsid w:val="00542CCE"/>
    <w:rsid w:val="00544FE3"/>
    <w:rsid w:val="00552951"/>
    <w:rsid w:val="0056020C"/>
    <w:rsid w:val="00575A74"/>
    <w:rsid w:val="0058271F"/>
    <w:rsid w:val="005831ED"/>
    <w:rsid w:val="00590119"/>
    <w:rsid w:val="005A0419"/>
    <w:rsid w:val="005A267F"/>
    <w:rsid w:val="005C6413"/>
    <w:rsid w:val="005D5F18"/>
    <w:rsid w:val="005E776F"/>
    <w:rsid w:val="0060436A"/>
    <w:rsid w:val="006146B1"/>
    <w:rsid w:val="006248D3"/>
    <w:rsid w:val="00651083"/>
    <w:rsid w:val="006511EA"/>
    <w:rsid w:val="00660305"/>
    <w:rsid w:val="00674713"/>
    <w:rsid w:val="00674CCB"/>
    <w:rsid w:val="00691072"/>
    <w:rsid w:val="006A2943"/>
    <w:rsid w:val="006B2E1F"/>
    <w:rsid w:val="006C2760"/>
    <w:rsid w:val="006C4A42"/>
    <w:rsid w:val="006C6CDF"/>
    <w:rsid w:val="006D51AB"/>
    <w:rsid w:val="006F32BB"/>
    <w:rsid w:val="006F459F"/>
    <w:rsid w:val="007015D8"/>
    <w:rsid w:val="0071655E"/>
    <w:rsid w:val="00744C8D"/>
    <w:rsid w:val="00745C6B"/>
    <w:rsid w:val="007556ED"/>
    <w:rsid w:val="00766536"/>
    <w:rsid w:val="00777919"/>
    <w:rsid w:val="00795E85"/>
    <w:rsid w:val="007B7B6B"/>
    <w:rsid w:val="007C0B64"/>
    <w:rsid w:val="007D575E"/>
    <w:rsid w:val="007F7314"/>
    <w:rsid w:val="007F7CE5"/>
    <w:rsid w:val="008108D3"/>
    <w:rsid w:val="008160E8"/>
    <w:rsid w:val="00833861"/>
    <w:rsid w:val="00843AA5"/>
    <w:rsid w:val="008459DB"/>
    <w:rsid w:val="0085609C"/>
    <w:rsid w:val="008833A0"/>
    <w:rsid w:val="008843F5"/>
    <w:rsid w:val="00893480"/>
    <w:rsid w:val="008B6943"/>
    <w:rsid w:val="008C513F"/>
    <w:rsid w:val="008C6A43"/>
    <w:rsid w:val="008E7CE6"/>
    <w:rsid w:val="00917C42"/>
    <w:rsid w:val="009571B9"/>
    <w:rsid w:val="00967703"/>
    <w:rsid w:val="00984C85"/>
    <w:rsid w:val="009857DA"/>
    <w:rsid w:val="00987C75"/>
    <w:rsid w:val="0099161B"/>
    <w:rsid w:val="009A2A38"/>
    <w:rsid w:val="009B7134"/>
    <w:rsid w:val="009D21F6"/>
    <w:rsid w:val="009F7892"/>
    <w:rsid w:val="00A110C9"/>
    <w:rsid w:val="00A16707"/>
    <w:rsid w:val="00A24579"/>
    <w:rsid w:val="00A342E8"/>
    <w:rsid w:val="00A34A8C"/>
    <w:rsid w:val="00A3548A"/>
    <w:rsid w:val="00A53A56"/>
    <w:rsid w:val="00A53B2C"/>
    <w:rsid w:val="00A70508"/>
    <w:rsid w:val="00A97A62"/>
    <w:rsid w:val="00AB5D84"/>
    <w:rsid w:val="00AB7FC1"/>
    <w:rsid w:val="00AF07C0"/>
    <w:rsid w:val="00B05E0E"/>
    <w:rsid w:val="00B068BB"/>
    <w:rsid w:val="00B7549B"/>
    <w:rsid w:val="00B81A16"/>
    <w:rsid w:val="00B94ED1"/>
    <w:rsid w:val="00BB3EAF"/>
    <w:rsid w:val="00BC1F33"/>
    <w:rsid w:val="00BD0110"/>
    <w:rsid w:val="00BD08EF"/>
    <w:rsid w:val="00BD09F8"/>
    <w:rsid w:val="00BD24B7"/>
    <w:rsid w:val="00BE680F"/>
    <w:rsid w:val="00BE7F70"/>
    <w:rsid w:val="00C42BB0"/>
    <w:rsid w:val="00C54DF9"/>
    <w:rsid w:val="00C73A73"/>
    <w:rsid w:val="00C91BD1"/>
    <w:rsid w:val="00C9219D"/>
    <w:rsid w:val="00CA1C89"/>
    <w:rsid w:val="00CA4A3C"/>
    <w:rsid w:val="00CA5797"/>
    <w:rsid w:val="00CA7266"/>
    <w:rsid w:val="00CB1737"/>
    <w:rsid w:val="00CB2F48"/>
    <w:rsid w:val="00CE7A8E"/>
    <w:rsid w:val="00D063D4"/>
    <w:rsid w:val="00D214BA"/>
    <w:rsid w:val="00D42004"/>
    <w:rsid w:val="00D73C4D"/>
    <w:rsid w:val="00D74E79"/>
    <w:rsid w:val="00D76359"/>
    <w:rsid w:val="00D83E0D"/>
    <w:rsid w:val="00D84626"/>
    <w:rsid w:val="00D961E0"/>
    <w:rsid w:val="00DA0586"/>
    <w:rsid w:val="00DA2FAD"/>
    <w:rsid w:val="00DB73F1"/>
    <w:rsid w:val="00DD4DE7"/>
    <w:rsid w:val="00E107F0"/>
    <w:rsid w:val="00E15F0E"/>
    <w:rsid w:val="00E60B55"/>
    <w:rsid w:val="00E62C52"/>
    <w:rsid w:val="00E6512F"/>
    <w:rsid w:val="00E71B7F"/>
    <w:rsid w:val="00E73811"/>
    <w:rsid w:val="00E840A9"/>
    <w:rsid w:val="00E97BC5"/>
    <w:rsid w:val="00EA20F0"/>
    <w:rsid w:val="00EA33FF"/>
    <w:rsid w:val="00EE3E50"/>
    <w:rsid w:val="00F15A3C"/>
    <w:rsid w:val="00F37D60"/>
    <w:rsid w:val="00F45684"/>
    <w:rsid w:val="00F52404"/>
    <w:rsid w:val="00F529E1"/>
    <w:rsid w:val="00F831F1"/>
    <w:rsid w:val="00F922A3"/>
    <w:rsid w:val="00FA1526"/>
    <w:rsid w:val="00FB4577"/>
    <w:rsid w:val="00FC5951"/>
    <w:rsid w:val="00FD4100"/>
    <w:rsid w:val="00FD66DC"/>
    <w:rsid w:val="00FE4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5BE69C-4C19-411F-859A-A668B5872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5F0E"/>
    <w:pPr>
      <w:spacing w:after="0" w:line="240" w:lineRule="auto"/>
    </w:pPr>
    <w:rPr>
      <w:rFonts w:ascii="Times New Roman" w:hAnsi="Times New Roman"/>
      <w:sz w:val="24"/>
    </w:rPr>
  </w:style>
  <w:style w:type="paragraph" w:styleId="Heading1">
    <w:name w:val="heading 1"/>
    <w:basedOn w:val="Normal"/>
    <w:next w:val="Normal"/>
    <w:link w:val="Heading1Char"/>
    <w:uiPriority w:val="9"/>
    <w:qFormat/>
    <w:rsid w:val="00E15F0E"/>
    <w:pPr>
      <w:spacing w:line="480" w:lineRule="auto"/>
      <w:jc w:val="center"/>
      <w:outlineLvl w:val="0"/>
    </w:pPr>
    <w:rPr>
      <w:b/>
    </w:rPr>
  </w:style>
  <w:style w:type="paragraph" w:styleId="Heading3">
    <w:name w:val="heading 3"/>
    <w:basedOn w:val="Normal"/>
    <w:next w:val="Normal"/>
    <w:link w:val="Heading3Char"/>
    <w:uiPriority w:val="9"/>
    <w:unhideWhenUsed/>
    <w:qFormat/>
    <w:rsid w:val="00E15F0E"/>
    <w:pPr>
      <w:spacing w:line="480" w:lineRule="auto"/>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5F0E"/>
    <w:rPr>
      <w:rFonts w:ascii="Times New Roman" w:hAnsi="Times New Roman"/>
      <w:b/>
      <w:sz w:val="24"/>
    </w:rPr>
  </w:style>
  <w:style w:type="character" w:customStyle="1" w:styleId="Heading3Char">
    <w:name w:val="Heading 3 Char"/>
    <w:basedOn w:val="DefaultParagraphFont"/>
    <w:link w:val="Heading3"/>
    <w:uiPriority w:val="9"/>
    <w:rsid w:val="00E15F0E"/>
    <w:rPr>
      <w:rFonts w:ascii="Times New Roman" w:hAnsi="Times New Roman"/>
      <w:sz w:val="24"/>
      <w:u w:val="single"/>
    </w:rPr>
  </w:style>
  <w:style w:type="paragraph" w:styleId="Header">
    <w:name w:val="header"/>
    <w:basedOn w:val="Normal"/>
    <w:link w:val="HeaderChar"/>
    <w:uiPriority w:val="99"/>
    <w:unhideWhenUsed/>
    <w:rsid w:val="00E15F0E"/>
    <w:pPr>
      <w:tabs>
        <w:tab w:val="center" w:pos="4680"/>
        <w:tab w:val="right" w:pos="9360"/>
      </w:tabs>
    </w:pPr>
  </w:style>
  <w:style w:type="character" w:customStyle="1" w:styleId="HeaderChar">
    <w:name w:val="Header Char"/>
    <w:basedOn w:val="DefaultParagraphFont"/>
    <w:link w:val="Header"/>
    <w:uiPriority w:val="99"/>
    <w:rsid w:val="00E15F0E"/>
    <w:rPr>
      <w:rFonts w:ascii="Times New Roman" w:hAnsi="Times New Roman"/>
      <w:sz w:val="24"/>
    </w:rPr>
  </w:style>
  <w:style w:type="paragraph" w:styleId="Footer">
    <w:name w:val="footer"/>
    <w:basedOn w:val="Normal"/>
    <w:link w:val="FooterChar"/>
    <w:uiPriority w:val="99"/>
    <w:unhideWhenUsed/>
    <w:rsid w:val="00E15F0E"/>
    <w:pPr>
      <w:tabs>
        <w:tab w:val="center" w:pos="4680"/>
        <w:tab w:val="right" w:pos="9360"/>
      </w:tabs>
    </w:pPr>
  </w:style>
  <w:style w:type="character" w:customStyle="1" w:styleId="FooterChar">
    <w:name w:val="Footer Char"/>
    <w:basedOn w:val="DefaultParagraphFont"/>
    <w:link w:val="Footer"/>
    <w:uiPriority w:val="99"/>
    <w:rsid w:val="00E15F0E"/>
    <w:rPr>
      <w:rFonts w:ascii="Times New Roman" w:hAnsi="Times New Roman"/>
      <w:sz w:val="24"/>
    </w:rPr>
  </w:style>
  <w:style w:type="paragraph" w:styleId="NormalWeb">
    <w:name w:val="Normal (Web)"/>
    <w:basedOn w:val="Normal"/>
    <w:uiPriority w:val="99"/>
    <w:unhideWhenUsed/>
    <w:rsid w:val="008108D3"/>
    <w:pPr>
      <w:spacing w:before="100" w:beforeAutospacing="1" w:after="100" w:afterAutospacing="1"/>
    </w:pPr>
    <w:rPr>
      <w:rFonts w:eastAsia="Times New Roman" w:cs="Times New Roman"/>
      <w:szCs w:val="24"/>
    </w:rPr>
  </w:style>
  <w:style w:type="character" w:styleId="Hyperlink">
    <w:name w:val="Hyperlink"/>
    <w:basedOn w:val="DefaultParagraphFont"/>
    <w:uiPriority w:val="99"/>
    <w:unhideWhenUsed/>
    <w:rsid w:val="000F5759"/>
    <w:rPr>
      <w:color w:val="0000FF"/>
      <w:u w:val="single"/>
    </w:rPr>
  </w:style>
  <w:style w:type="paragraph" w:styleId="FootnoteText">
    <w:name w:val="footnote text"/>
    <w:basedOn w:val="Normal"/>
    <w:link w:val="FootnoteTextChar"/>
    <w:uiPriority w:val="99"/>
    <w:semiHidden/>
    <w:unhideWhenUsed/>
    <w:rsid w:val="00DD4DE7"/>
    <w:rPr>
      <w:sz w:val="20"/>
      <w:szCs w:val="20"/>
    </w:rPr>
  </w:style>
  <w:style w:type="character" w:customStyle="1" w:styleId="FootnoteTextChar">
    <w:name w:val="Footnote Text Char"/>
    <w:basedOn w:val="DefaultParagraphFont"/>
    <w:link w:val="FootnoteText"/>
    <w:uiPriority w:val="99"/>
    <w:semiHidden/>
    <w:rsid w:val="00DD4DE7"/>
    <w:rPr>
      <w:rFonts w:ascii="Times New Roman" w:hAnsi="Times New Roman"/>
      <w:sz w:val="20"/>
      <w:szCs w:val="20"/>
    </w:rPr>
  </w:style>
  <w:style w:type="character" w:styleId="FootnoteReference">
    <w:name w:val="footnote reference"/>
    <w:basedOn w:val="DefaultParagraphFont"/>
    <w:uiPriority w:val="99"/>
    <w:semiHidden/>
    <w:unhideWhenUsed/>
    <w:rsid w:val="00DD4DE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1310580">
      <w:bodyDiv w:val="1"/>
      <w:marLeft w:val="0"/>
      <w:marRight w:val="0"/>
      <w:marTop w:val="0"/>
      <w:marBottom w:val="0"/>
      <w:divBdr>
        <w:top w:val="none" w:sz="0" w:space="0" w:color="auto"/>
        <w:left w:val="none" w:sz="0" w:space="0" w:color="auto"/>
        <w:bottom w:val="none" w:sz="0" w:space="0" w:color="auto"/>
        <w:right w:val="none" w:sz="0" w:space="0" w:color="auto"/>
      </w:divBdr>
    </w:div>
    <w:div w:id="1890680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E539B-C231-4A37-AAF6-B49692FC4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1231</Words>
  <Characters>7023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JUEMDA</cp:lastModifiedBy>
  <cp:revision>2</cp:revision>
  <dcterms:created xsi:type="dcterms:W3CDTF">2020-11-19T18:33:00Z</dcterms:created>
  <dcterms:modified xsi:type="dcterms:W3CDTF">2020-11-19T18:33:00Z</dcterms:modified>
</cp:coreProperties>
</file>